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001" w:rsidRDefault="00B10001" w:rsidP="000A46DD">
      <w:pPr>
        <w:pStyle w:val="PlainText"/>
        <w:spacing w:line="240" w:lineRule="atLeast"/>
        <w:rPr>
          <w:noProof/>
        </w:rPr>
      </w:pPr>
      <w:r w:rsidRPr="0064697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5" o:spid="_x0000_i1025" type="#_x0000_t75" style="width:138.75pt;height:39pt;visibility:visible">
            <v:imagedata r:id="rId6" o:title=""/>
          </v:shape>
        </w:pict>
      </w:r>
      <w:r>
        <w:rPr>
          <w:noProof/>
        </w:rPr>
        <w:tab/>
      </w:r>
      <w:r>
        <w:rPr>
          <w:noProof/>
        </w:rPr>
        <w:tab/>
      </w:r>
    </w:p>
    <w:p w:rsidR="00B10001" w:rsidRPr="000A46DD" w:rsidRDefault="00B10001" w:rsidP="00454EF8">
      <w:pPr>
        <w:pStyle w:val="PlainText"/>
        <w:spacing w:line="240" w:lineRule="atLeast"/>
        <w:jc w:val="center"/>
        <w:rPr>
          <w:rFonts w:hAnsi="Calibri"/>
          <w:sz w:val="28"/>
          <w:szCs w:val="28"/>
        </w:rPr>
      </w:pPr>
      <w:r w:rsidRPr="000A46DD">
        <w:rPr>
          <w:rFonts w:hAnsi="Calibri" w:hint="eastAsia"/>
          <w:sz w:val="28"/>
          <w:szCs w:val="28"/>
        </w:rPr>
        <w:t>关于征收增值税的通知</w:t>
      </w:r>
    </w:p>
    <w:p w:rsidR="00B10001" w:rsidRPr="000A46DD" w:rsidRDefault="00B10001" w:rsidP="00454EF8">
      <w:pPr>
        <w:pStyle w:val="PlainText"/>
        <w:spacing w:line="240" w:lineRule="atLeast"/>
        <w:jc w:val="center"/>
        <w:rPr>
          <w:rFonts w:hAnsi="Calibri"/>
          <w:sz w:val="28"/>
          <w:szCs w:val="28"/>
        </w:rPr>
      </w:pPr>
      <w:r w:rsidRPr="000A46DD">
        <w:rPr>
          <w:rFonts w:hAnsi="Calibri"/>
          <w:sz w:val="28"/>
          <w:szCs w:val="28"/>
        </w:rPr>
        <w:t>Notification of Value Added Tax (VAT)</w:t>
      </w:r>
    </w:p>
    <w:p w:rsidR="00B10001" w:rsidRPr="000A46DD" w:rsidRDefault="00B10001" w:rsidP="000A46DD">
      <w:pPr>
        <w:pStyle w:val="PlainText"/>
        <w:spacing w:line="240" w:lineRule="atLeast"/>
        <w:rPr>
          <w:rFonts w:hAnsi="Calibri"/>
          <w:sz w:val="24"/>
          <w:szCs w:val="24"/>
        </w:rPr>
      </w:pPr>
    </w:p>
    <w:p w:rsidR="00B10001" w:rsidRPr="009809FC" w:rsidRDefault="00B10001" w:rsidP="00D116B5">
      <w:pPr>
        <w:pStyle w:val="PlainText"/>
        <w:rPr>
          <w:rFonts w:hAnsi="Calibri"/>
          <w:sz w:val="24"/>
          <w:szCs w:val="24"/>
        </w:rPr>
      </w:pPr>
      <w:r w:rsidRPr="009809FC">
        <w:rPr>
          <w:rFonts w:hAnsi="Calibri" w:hint="eastAsia"/>
          <w:sz w:val="24"/>
          <w:szCs w:val="24"/>
        </w:rPr>
        <w:t>尊敬的客户：</w:t>
      </w:r>
      <w:r w:rsidRPr="009809FC">
        <w:rPr>
          <w:rFonts w:hAnsi="Calibri"/>
          <w:sz w:val="24"/>
          <w:szCs w:val="24"/>
        </w:rPr>
        <w:t xml:space="preserve"> </w:t>
      </w:r>
    </w:p>
    <w:p w:rsidR="00B10001" w:rsidRPr="009809FC" w:rsidRDefault="00B10001" w:rsidP="009809FC">
      <w:pPr>
        <w:pStyle w:val="PlainText"/>
        <w:rPr>
          <w:rFonts w:hAnsi="Calibri"/>
          <w:sz w:val="24"/>
          <w:szCs w:val="24"/>
        </w:rPr>
      </w:pPr>
      <w:r w:rsidRPr="009809FC">
        <w:rPr>
          <w:rFonts w:hAnsi="Calibri"/>
          <w:sz w:val="24"/>
          <w:szCs w:val="24"/>
        </w:rPr>
        <w:t>Dear Customers,</w:t>
      </w:r>
    </w:p>
    <w:p w:rsidR="00B10001" w:rsidRPr="000A46DD" w:rsidRDefault="00B10001" w:rsidP="000A46DD">
      <w:pPr>
        <w:pStyle w:val="PlainText"/>
        <w:spacing w:line="240" w:lineRule="atLeast"/>
        <w:rPr>
          <w:rFonts w:hAnsi="Calibri"/>
          <w:sz w:val="18"/>
          <w:szCs w:val="18"/>
        </w:rPr>
      </w:pPr>
    </w:p>
    <w:p w:rsidR="00B10001" w:rsidRPr="00454EF8" w:rsidRDefault="00B10001" w:rsidP="006C772E">
      <w:pPr>
        <w:pStyle w:val="PlainText"/>
        <w:jc w:val="distribute"/>
        <w:rPr>
          <w:rFonts w:ascii="宋体"/>
          <w:sz w:val="24"/>
          <w:szCs w:val="24"/>
        </w:rPr>
      </w:pPr>
      <w:r w:rsidRPr="00454EF8">
        <w:rPr>
          <w:rFonts w:ascii="宋体" w:hAnsi="宋体" w:hint="eastAsia"/>
          <w:sz w:val="24"/>
          <w:szCs w:val="24"/>
        </w:rPr>
        <w:t>根据国家财政部和国家税务总局</w:t>
      </w:r>
      <w:r w:rsidRPr="00454EF8">
        <w:rPr>
          <w:rFonts w:ascii="宋体" w:hAnsi="宋体"/>
          <w:sz w:val="24"/>
          <w:szCs w:val="24"/>
        </w:rPr>
        <w:t>2013</w:t>
      </w:r>
      <w:r w:rsidRPr="00454EF8">
        <w:rPr>
          <w:rFonts w:ascii="宋体" w:hAnsi="宋体" w:hint="eastAsia"/>
          <w:sz w:val="24"/>
          <w:szCs w:val="24"/>
        </w:rPr>
        <w:t>年</w:t>
      </w:r>
      <w:r w:rsidRPr="00454EF8">
        <w:rPr>
          <w:rFonts w:ascii="宋体" w:hAnsi="宋体"/>
          <w:sz w:val="24"/>
          <w:szCs w:val="24"/>
        </w:rPr>
        <w:t>5</w:t>
      </w:r>
      <w:r w:rsidRPr="00454EF8">
        <w:rPr>
          <w:rFonts w:ascii="宋体" w:hAnsi="宋体" w:hint="eastAsia"/>
          <w:sz w:val="24"/>
          <w:szCs w:val="24"/>
        </w:rPr>
        <w:t>月</w:t>
      </w:r>
      <w:r w:rsidRPr="00454EF8">
        <w:rPr>
          <w:rFonts w:ascii="宋体" w:hAnsi="宋体"/>
          <w:sz w:val="24"/>
          <w:szCs w:val="24"/>
        </w:rPr>
        <w:t>24</w:t>
      </w:r>
      <w:r w:rsidRPr="00454EF8">
        <w:rPr>
          <w:rFonts w:ascii="宋体" w:hAnsi="宋体" w:hint="eastAsia"/>
          <w:sz w:val="24"/>
          <w:szCs w:val="24"/>
        </w:rPr>
        <w:t>日发布的《关于在全国开展交通运输业和部分现代服务业营业税改征增值税试点税收政策的通知》</w:t>
      </w:r>
      <w:r w:rsidRPr="00454EF8">
        <w:rPr>
          <w:rFonts w:ascii="宋体" w:hAnsi="宋体"/>
          <w:sz w:val="24"/>
          <w:szCs w:val="24"/>
        </w:rPr>
        <w:t xml:space="preserve"> </w:t>
      </w:r>
      <w:r w:rsidRPr="00454EF8">
        <w:rPr>
          <w:rFonts w:ascii="宋体" w:hAnsi="宋体" w:hint="eastAsia"/>
          <w:sz w:val="24"/>
          <w:szCs w:val="24"/>
        </w:rPr>
        <w:t>（即《财税</w:t>
      </w:r>
      <w:r w:rsidRPr="00454EF8">
        <w:rPr>
          <w:rFonts w:ascii="宋体" w:hAnsi="宋体"/>
          <w:sz w:val="24"/>
          <w:szCs w:val="24"/>
        </w:rPr>
        <w:t>[2013] 37</w:t>
      </w:r>
      <w:r w:rsidRPr="00454EF8">
        <w:rPr>
          <w:rFonts w:ascii="宋体" w:hAnsi="宋体" w:hint="eastAsia"/>
          <w:sz w:val="24"/>
          <w:szCs w:val="24"/>
        </w:rPr>
        <w:t>号》）的规定，</w:t>
      </w:r>
    </w:p>
    <w:p w:rsidR="00B10001" w:rsidRPr="00454EF8" w:rsidRDefault="00B10001" w:rsidP="00AF4665">
      <w:pPr>
        <w:pStyle w:val="PlainText"/>
        <w:rPr>
          <w:rFonts w:ascii="宋体"/>
          <w:sz w:val="24"/>
          <w:szCs w:val="24"/>
        </w:rPr>
      </w:pPr>
      <w:r w:rsidRPr="00454EF8">
        <w:rPr>
          <w:rFonts w:ascii="宋体" w:hAnsi="宋体" w:hint="eastAsia"/>
          <w:sz w:val="24"/>
          <w:szCs w:val="24"/>
        </w:rPr>
        <w:t>自</w:t>
      </w:r>
      <w:r w:rsidRPr="00454EF8">
        <w:rPr>
          <w:rFonts w:ascii="宋体" w:hAnsi="宋体"/>
          <w:sz w:val="24"/>
          <w:szCs w:val="24"/>
        </w:rPr>
        <w:t>2013</w:t>
      </w:r>
      <w:r w:rsidRPr="00454EF8">
        <w:rPr>
          <w:rFonts w:ascii="宋体" w:hAnsi="宋体" w:hint="eastAsia"/>
          <w:sz w:val="24"/>
          <w:szCs w:val="24"/>
        </w:rPr>
        <w:t>年</w:t>
      </w:r>
      <w:r w:rsidRPr="00454EF8">
        <w:rPr>
          <w:rFonts w:ascii="宋体" w:hAnsi="宋体"/>
          <w:sz w:val="24"/>
          <w:szCs w:val="24"/>
        </w:rPr>
        <w:t>8</w:t>
      </w:r>
      <w:r w:rsidRPr="00454EF8">
        <w:rPr>
          <w:rFonts w:ascii="宋体" w:hAnsi="宋体" w:hint="eastAsia"/>
          <w:sz w:val="24"/>
          <w:szCs w:val="24"/>
        </w:rPr>
        <w:t>月</w:t>
      </w:r>
      <w:r w:rsidRPr="00454EF8">
        <w:rPr>
          <w:rFonts w:ascii="宋体" w:hAnsi="宋体"/>
          <w:sz w:val="24"/>
          <w:szCs w:val="24"/>
        </w:rPr>
        <w:t>1</w:t>
      </w:r>
      <w:r w:rsidRPr="00454EF8">
        <w:rPr>
          <w:rFonts w:ascii="宋体" w:hAnsi="宋体" w:hint="eastAsia"/>
          <w:sz w:val="24"/>
          <w:szCs w:val="24"/>
        </w:rPr>
        <w:t>日起，在全国范围内开展交通运输业和部分现代服务业营改增试点，届时我司所在的行业将按</w:t>
      </w:r>
      <w:r w:rsidRPr="00454EF8">
        <w:rPr>
          <w:rFonts w:ascii="宋体" w:hAnsi="宋体"/>
          <w:sz w:val="24"/>
          <w:szCs w:val="24"/>
        </w:rPr>
        <w:t>6%</w:t>
      </w:r>
      <w:r w:rsidRPr="00454EF8">
        <w:rPr>
          <w:rFonts w:ascii="宋体" w:hAnsi="宋体" w:hint="eastAsia"/>
          <w:sz w:val="24"/>
          <w:szCs w:val="24"/>
        </w:rPr>
        <w:t>税率征收增值税。与此同时，现有已实行营改增的地区，原规定将自新规定执行之日起废止。请参阅《财税</w:t>
      </w:r>
      <w:r w:rsidRPr="00454EF8">
        <w:rPr>
          <w:rFonts w:ascii="宋体" w:hAnsi="宋体"/>
          <w:sz w:val="24"/>
          <w:szCs w:val="24"/>
        </w:rPr>
        <w:t>[2013] 37</w:t>
      </w:r>
      <w:r w:rsidRPr="00454EF8">
        <w:rPr>
          <w:rFonts w:ascii="宋体" w:hAnsi="宋体" w:hint="eastAsia"/>
          <w:sz w:val="24"/>
          <w:szCs w:val="24"/>
        </w:rPr>
        <w:t>号》获取更多详情。</w:t>
      </w:r>
    </w:p>
    <w:p w:rsidR="00B10001" w:rsidRPr="00AF4665" w:rsidRDefault="00B10001" w:rsidP="000A46DD">
      <w:pPr>
        <w:pStyle w:val="PlainText"/>
        <w:spacing w:line="240" w:lineRule="atLeast"/>
        <w:rPr>
          <w:rFonts w:hAnsi="Calibri"/>
          <w:sz w:val="15"/>
          <w:szCs w:val="15"/>
        </w:rPr>
      </w:pPr>
    </w:p>
    <w:p w:rsidR="00B10001" w:rsidRDefault="00B10001" w:rsidP="006C772E">
      <w:pPr>
        <w:pStyle w:val="PlainText"/>
        <w:jc w:val="distribute"/>
        <w:rPr>
          <w:rFonts w:hAnsi="Calibri"/>
          <w:sz w:val="24"/>
          <w:szCs w:val="24"/>
        </w:rPr>
      </w:pPr>
      <w:r w:rsidRPr="009809FC">
        <w:rPr>
          <w:rFonts w:hAnsi="Calibri"/>
          <w:sz w:val="24"/>
          <w:szCs w:val="24"/>
        </w:rPr>
        <w:t>According to Cai Shui [2013] No. 37 Notice on “Tax Policy Concerning Nationwide Implementation of VAT Pilot Program for Transport and Modern Services Sectors”, jointly issued by the Ministry of Finance (MOF) and the State Administration of Taxation (SAT) of PRC on 24 May 2013, the tax</w:t>
      </w:r>
    </w:p>
    <w:p w:rsidR="00B10001" w:rsidRDefault="00B10001" w:rsidP="006C772E">
      <w:pPr>
        <w:pStyle w:val="PlainText"/>
        <w:rPr>
          <w:rFonts w:hAnsi="Calibri"/>
          <w:kern w:val="0"/>
          <w:sz w:val="24"/>
          <w:szCs w:val="24"/>
        </w:rPr>
      </w:pPr>
      <w:r w:rsidRPr="006C772E">
        <w:rPr>
          <w:rFonts w:hAnsi="Calibri"/>
          <w:spacing w:val="2"/>
          <w:kern w:val="0"/>
          <w:sz w:val="24"/>
          <w:szCs w:val="24"/>
          <w:fitText w:val="9178" w:id="398712320"/>
        </w:rPr>
        <w:t>policy concerning China’s Value Added Tax (VAT) Pilot Program will be expanded nationwid</w:t>
      </w:r>
      <w:r w:rsidRPr="006C772E">
        <w:rPr>
          <w:rFonts w:hAnsi="Calibri"/>
          <w:spacing w:val="8"/>
          <w:kern w:val="0"/>
          <w:sz w:val="24"/>
          <w:szCs w:val="24"/>
          <w:fitText w:val="9178" w:id="398712320"/>
        </w:rPr>
        <w:t>e</w:t>
      </w:r>
    </w:p>
    <w:p w:rsidR="00B10001" w:rsidRPr="009809FC" w:rsidRDefault="00B10001" w:rsidP="009809FC">
      <w:pPr>
        <w:pStyle w:val="PlainText"/>
        <w:rPr>
          <w:rFonts w:hAnsi="Calibri"/>
          <w:sz w:val="24"/>
          <w:szCs w:val="24"/>
        </w:rPr>
      </w:pPr>
      <w:r w:rsidRPr="009809FC">
        <w:rPr>
          <w:rFonts w:hAnsi="Calibri"/>
          <w:sz w:val="24"/>
          <w:szCs w:val="24"/>
        </w:rPr>
        <w:t>effective</w:t>
      </w:r>
      <w:r>
        <w:rPr>
          <w:rFonts w:hAnsi="Calibri"/>
          <w:sz w:val="24"/>
          <w:szCs w:val="24"/>
        </w:rPr>
        <w:t xml:space="preserve"> </w:t>
      </w:r>
      <w:r w:rsidRPr="009809FC">
        <w:rPr>
          <w:rFonts w:hAnsi="Calibri"/>
          <w:sz w:val="24"/>
          <w:szCs w:val="24"/>
        </w:rPr>
        <w:t>1 August 2013. By then, the applicable VAT ratio for the service provided by us will be 6%. The Notice also states that the relevant tax policies for initial pilots will be repealed simultaneously. Please refer to Cai Shui [2013] (Circular 37) for more details.</w:t>
      </w:r>
    </w:p>
    <w:p w:rsidR="00B10001" w:rsidRPr="006C772E" w:rsidRDefault="00B10001" w:rsidP="000A46DD">
      <w:pPr>
        <w:pStyle w:val="PlainText"/>
        <w:spacing w:line="240" w:lineRule="atLeast"/>
        <w:rPr>
          <w:rFonts w:hAnsi="Calibri"/>
          <w:sz w:val="15"/>
          <w:szCs w:val="15"/>
        </w:rPr>
      </w:pPr>
    </w:p>
    <w:p w:rsidR="00B10001" w:rsidRPr="00464424" w:rsidRDefault="00B10001" w:rsidP="00464424">
      <w:pPr>
        <w:pStyle w:val="PlainText"/>
        <w:rPr>
          <w:rFonts w:ascii="宋体"/>
          <w:sz w:val="24"/>
          <w:szCs w:val="24"/>
        </w:rPr>
      </w:pPr>
      <w:r w:rsidRPr="00454EF8">
        <w:rPr>
          <w:rFonts w:ascii="宋体" w:hAnsi="宋体" w:hint="eastAsia"/>
          <w:sz w:val="24"/>
          <w:szCs w:val="24"/>
        </w:rPr>
        <w:t>为配合上述规定的执行，谨此通知您，自</w:t>
      </w:r>
      <w:r w:rsidRPr="00454EF8">
        <w:rPr>
          <w:rFonts w:ascii="宋体" w:hAnsi="宋体"/>
          <w:sz w:val="24"/>
          <w:szCs w:val="24"/>
        </w:rPr>
        <w:t>2013</w:t>
      </w:r>
      <w:r w:rsidRPr="00454EF8">
        <w:rPr>
          <w:rFonts w:ascii="宋体" w:hAnsi="宋体" w:hint="eastAsia"/>
          <w:sz w:val="24"/>
          <w:szCs w:val="24"/>
        </w:rPr>
        <w:t>年</w:t>
      </w:r>
      <w:r w:rsidRPr="00454EF8">
        <w:rPr>
          <w:rFonts w:ascii="宋体" w:hAnsi="宋体"/>
          <w:sz w:val="24"/>
          <w:szCs w:val="24"/>
        </w:rPr>
        <w:t>8</w:t>
      </w:r>
      <w:r w:rsidRPr="00454EF8">
        <w:rPr>
          <w:rFonts w:ascii="宋体" w:hAnsi="宋体" w:hint="eastAsia"/>
          <w:sz w:val="24"/>
          <w:szCs w:val="24"/>
        </w:rPr>
        <w:t>月</w:t>
      </w:r>
      <w:r w:rsidRPr="00454EF8">
        <w:rPr>
          <w:rFonts w:ascii="宋体" w:hAnsi="宋体"/>
          <w:sz w:val="24"/>
          <w:szCs w:val="24"/>
        </w:rPr>
        <w:t>1</w:t>
      </w:r>
      <w:r w:rsidRPr="00454EF8">
        <w:rPr>
          <w:rFonts w:ascii="宋体" w:hAnsi="宋体" w:hint="eastAsia"/>
          <w:sz w:val="24"/>
          <w:szCs w:val="24"/>
        </w:rPr>
        <w:t>日起（以开具增值税发票日期为准），</w:t>
      </w:r>
      <w:r w:rsidRPr="00464424">
        <w:rPr>
          <w:rFonts w:ascii="宋体" w:hAnsi="宋体" w:hint="eastAsia"/>
          <w:sz w:val="24"/>
          <w:szCs w:val="24"/>
        </w:rPr>
        <w:t>将对我司在中国境内收取的所有费用，加收</w:t>
      </w:r>
      <w:r w:rsidRPr="00464424">
        <w:rPr>
          <w:rFonts w:ascii="宋体" w:hAnsi="宋体"/>
          <w:sz w:val="24"/>
          <w:szCs w:val="24"/>
        </w:rPr>
        <w:t>6%</w:t>
      </w:r>
      <w:r w:rsidRPr="00464424">
        <w:rPr>
          <w:rFonts w:ascii="宋体" w:hAnsi="宋体" w:hint="eastAsia"/>
          <w:sz w:val="24"/>
          <w:szCs w:val="24"/>
        </w:rPr>
        <w:t>增值税，另因增值税引起的附加税（估约</w:t>
      </w:r>
      <w:r w:rsidRPr="00454EF8">
        <w:rPr>
          <w:rFonts w:ascii="宋体" w:hAnsi="宋体"/>
          <w:sz w:val="24"/>
          <w:szCs w:val="24"/>
        </w:rPr>
        <w:t>0.83%</w:t>
      </w:r>
      <w:r w:rsidRPr="00454EF8">
        <w:rPr>
          <w:rFonts w:ascii="宋体" w:hAnsi="宋体" w:hint="eastAsia"/>
          <w:sz w:val="24"/>
          <w:szCs w:val="24"/>
        </w:rPr>
        <w:t>），将一并加收。敬请留意！</w:t>
      </w:r>
    </w:p>
    <w:p w:rsidR="00B10001" w:rsidRPr="00464424" w:rsidRDefault="00B10001" w:rsidP="000A46DD">
      <w:pPr>
        <w:pStyle w:val="PlainText"/>
        <w:spacing w:line="240" w:lineRule="atLeast"/>
        <w:rPr>
          <w:rFonts w:hAnsi="Calibri"/>
          <w:sz w:val="15"/>
          <w:szCs w:val="15"/>
        </w:rPr>
      </w:pPr>
    </w:p>
    <w:p w:rsidR="00B10001" w:rsidRDefault="00B10001" w:rsidP="00464424">
      <w:pPr>
        <w:pStyle w:val="PlainText"/>
        <w:rPr>
          <w:rFonts w:hAnsi="Calibri"/>
          <w:kern w:val="0"/>
          <w:sz w:val="24"/>
          <w:szCs w:val="24"/>
        </w:rPr>
      </w:pPr>
      <w:r w:rsidRPr="00464424">
        <w:rPr>
          <w:rFonts w:hAnsi="Calibri"/>
          <w:spacing w:val="2"/>
          <w:kern w:val="0"/>
          <w:sz w:val="24"/>
          <w:szCs w:val="24"/>
          <w:fitText w:val="9178" w:id="398712321"/>
        </w:rPr>
        <w:t>With the implementation of the Notice, we would like to announce that, from 1 August 201</w:t>
      </w:r>
      <w:r w:rsidRPr="00464424">
        <w:rPr>
          <w:rFonts w:hAnsi="Calibri"/>
          <w:spacing w:val="-36"/>
          <w:kern w:val="0"/>
          <w:sz w:val="24"/>
          <w:szCs w:val="24"/>
          <w:fitText w:val="9178" w:id="398712321"/>
        </w:rPr>
        <w:t>3</w:t>
      </w:r>
    </w:p>
    <w:p w:rsidR="00B10001" w:rsidRDefault="00B10001" w:rsidP="006C772E">
      <w:pPr>
        <w:pStyle w:val="PlainText"/>
        <w:jc w:val="distribute"/>
        <w:rPr>
          <w:rFonts w:hAnsi="Calibri"/>
          <w:sz w:val="24"/>
          <w:szCs w:val="24"/>
        </w:rPr>
      </w:pPr>
      <w:r>
        <w:rPr>
          <w:rFonts w:hAnsi="Calibri"/>
          <w:sz w:val="24"/>
          <w:szCs w:val="24"/>
        </w:rPr>
        <w:t>(</w:t>
      </w:r>
      <w:r w:rsidRPr="009809FC">
        <w:rPr>
          <w:rFonts w:hAnsi="Calibri"/>
          <w:sz w:val="24"/>
          <w:szCs w:val="24"/>
        </w:rPr>
        <w:t>invoice issuance date</w:t>
      </w:r>
      <w:r>
        <w:rPr>
          <w:rFonts w:hAnsi="Calibri"/>
          <w:sz w:val="24"/>
          <w:szCs w:val="24"/>
        </w:rPr>
        <w:t>)</w:t>
      </w:r>
      <w:r>
        <w:rPr>
          <w:rFonts w:hAnsi="Calibri" w:hint="eastAsia"/>
          <w:sz w:val="24"/>
          <w:szCs w:val="24"/>
        </w:rPr>
        <w:t>，</w:t>
      </w:r>
      <w:r w:rsidRPr="009809FC">
        <w:rPr>
          <w:rFonts w:hAnsi="Calibri"/>
          <w:sz w:val="24"/>
          <w:szCs w:val="24"/>
        </w:rPr>
        <w:t>an a</w:t>
      </w:r>
      <w:r>
        <w:rPr>
          <w:rFonts w:hAnsi="Calibri"/>
          <w:sz w:val="24"/>
          <w:szCs w:val="24"/>
        </w:rPr>
        <w:t xml:space="preserve">dditional 6% of Value-Added Tax </w:t>
      </w:r>
      <w:r w:rsidRPr="009809FC">
        <w:rPr>
          <w:rFonts w:hAnsi="Calibri"/>
          <w:sz w:val="24"/>
          <w:szCs w:val="24"/>
        </w:rPr>
        <w:t>will be levied on top of all charges payable at PRC. </w:t>
      </w:r>
      <w:r>
        <w:rPr>
          <w:rFonts w:hAnsi="Calibri"/>
          <w:sz w:val="24"/>
          <w:szCs w:val="24"/>
        </w:rPr>
        <w:t>In the meantime, the related taxes arising from VAT (approximately 0.83%) will</w:t>
      </w:r>
    </w:p>
    <w:p w:rsidR="00B10001" w:rsidRDefault="00B10001" w:rsidP="00454EF8">
      <w:pPr>
        <w:pStyle w:val="PlainText"/>
        <w:rPr>
          <w:rFonts w:hAnsi="Calibri"/>
          <w:sz w:val="24"/>
          <w:szCs w:val="24"/>
        </w:rPr>
      </w:pPr>
      <w:r>
        <w:rPr>
          <w:rFonts w:hAnsi="Calibri"/>
          <w:sz w:val="24"/>
          <w:szCs w:val="24"/>
        </w:rPr>
        <w:t xml:space="preserve">also be levied. </w:t>
      </w:r>
    </w:p>
    <w:p w:rsidR="00B10001" w:rsidRPr="006C772E" w:rsidRDefault="00B10001" w:rsidP="000A46DD">
      <w:pPr>
        <w:pStyle w:val="PlainText"/>
        <w:spacing w:line="240" w:lineRule="atLeast"/>
        <w:rPr>
          <w:rFonts w:hAnsi="Calibri"/>
          <w:sz w:val="15"/>
          <w:szCs w:val="15"/>
        </w:rPr>
      </w:pPr>
    </w:p>
    <w:p w:rsidR="00B10001" w:rsidRDefault="00B10001" w:rsidP="001732E0">
      <w:pPr>
        <w:pStyle w:val="PlainText"/>
        <w:rPr>
          <w:rFonts w:hAnsi="Calibri"/>
          <w:sz w:val="24"/>
          <w:szCs w:val="24"/>
        </w:rPr>
      </w:pPr>
      <w:r>
        <w:rPr>
          <w:rFonts w:hAnsi="Calibri" w:hint="eastAsia"/>
          <w:sz w:val="24"/>
          <w:szCs w:val="24"/>
        </w:rPr>
        <w:t>如果</w:t>
      </w:r>
      <w:bookmarkStart w:id="0" w:name="_GoBack"/>
      <w:bookmarkEnd w:id="0"/>
      <w:r>
        <w:rPr>
          <w:rFonts w:hAnsi="Calibri" w:hint="eastAsia"/>
          <w:sz w:val="24"/>
          <w:szCs w:val="24"/>
        </w:rPr>
        <w:t>有关部门进一步明确增值税征收的适用范围及具体实施细则，我们将于第一时间通知您。</w:t>
      </w:r>
    </w:p>
    <w:p w:rsidR="00B10001" w:rsidRPr="006C772E" w:rsidRDefault="00B10001" w:rsidP="000A46DD">
      <w:pPr>
        <w:pStyle w:val="PlainText"/>
        <w:spacing w:line="240" w:lineRule="atLeast"/>
        <w:rPr>
          <w:rFonts w:hAnsi="Calibri"/>
          <w:sz w:val="15"/>
          <w:szCs w:val="15"/>
        </w:rPr>
      </w:pPr>
    </w:p>
    <w:p w:rsidR="00B10001" w:rsidRDefault="00B10001" w:rsidP="00152009">
      <w:pPr>
        <w:pStyle w:val="PlainText"/>
        <w:rPr>
          <w:rFonts w:hAnsi="Calibri"/>
          <w:sz w:val="24"/>
          <w:szCs w:val="24"/>
        </w:rPr>
      </w:pPr>
      <w:r>
        <w:rPr>
          <w:rFonts w:hAnsi="Calibri"/>
          <w:sz w:val="24"/>
          <w:szCs w:val="24"/>
        </w:rPr>
        <w:t>There are still uncertain aspects of the VAT policy as to the scopes to apply and by laws; you will be timely informed if there is any further development.</w:t>
      </w:r>
    </w:p>
    <w:p w:rsidR="00B10001" w:rsidRPr="006C772E" w:rsidRDefault="00B10001" w:rsidP="000A46DD">
      <w:pPr>
        <w:pStyle w:val="PlainText"/>
        <w:spacing w:line="240" w:lineRule="atLeast"/>
        <w:rPr>
          <w:rFonts w:hAnsi="Calibri"/>
          <w:sz w:val="15"/>
          <w:szCs w:val="15"/>
        </w:rPr>
      </w:pPr>
    </w:p>
    <w:p w:rsidR="00B10001" w:rsidRDefault="00B10001" w:rsidP="009809FC">
      <w:pPr>
        <w:pStyle w:val="PlainText"/>
        <w:rPr>
          <w:rFonts w:hAnsi="Calibri"/>
          <w:sz w:val="24"/>
          <w:szCs w:val="24"/>
        </w:rPr>
      </w:pPr>
      <w:r w:rsidRPr="009809FC">
        <w:rPr>
          <w:rFonts w:hAnsi="Calibri" w:hint="eastAsia"/>
          <w:sz w:val="24"/>
          <w:szCs w:val="24"/>
        </w:rPr>
        <w:t>感谢您给予我司的一贯支持。如有任何疑问，欢迎联络我司当地办事处，或登录我们的网站</w:t>
      </w:r>
      <w:hyperlink r:id="rId7" w:history="1">
        <w:r w:rsidRPr="009809FC">
          <w:rPr>
            <w:rFonts w:hAnsi="Calibri"/>
            <w:sz w:val="24"/>
            <w:szCs w:val="24"/>
            <w:u w:val="single"/>
          </w:rPr>
          <w:t>www.cn.yangming.com</w:t>
        </w:r>
      </w:hyperlink>
      <w:r w:rsidRPr="009809FC">
        <w:rPr>
          <w:rFonts w:hAnsi="Calibri" w:hint="eastAsia"/>
          <w:sz w:val="24"/>
          <w:szCs w:val="24"/>
        </w:rPr>
        <w:t>。</w:t>
      </w:r>
    </w:p>
    <w:p w:rsidR="00B10001" w:rsidRPr="006C772E" w:rsidRDefault="00B10001" w:rsidP="000A46DD">
      <w:pPr>
        <w:pStyle w:val="PlainText"/>
        <w:spacing w:line="240" w:lineRule="atLeast"/>
        <w:rPr>
          <w:rFonts w:hAnsi="Calibri"/>
          <w:sz w:val="15"/>
          <w:szCs w:val="15"/>
        </w:rPr>
      </w:pPr>
    </w:p>
    <w:p w:rsidR="00B10001" w:rsidRDefault="00B10001" w:rsidP="006C772E">
      <w:pPr>
        <w:pStyle w:val="PlainText"/>
        <w:jc w:val="distribute"/>
        <w:rPr>
          <w:rFonts w:hAnsi="Calibri"/>
          <w:sz w:val="24"/>
          <w:szCs w:val="24"/>
        </w:rPr>
      </w:pPr>
      <w:r w:rsidRPr="009809FC">
        <w:rPr>
          <w:rFonts w:hAnsi="Calibri"/>
          <w:sz w:val="24"/>
          <w:szCs w:val="24"/>
        </w:rPr>
        <w:t>We really appreciate your kind understanding and support to us. Should there be any further</w:t>
      </w:r>
    </w:p>
    <w:p w:rsidR="00B10001" w:rsidRPr="009809FC" w:rsidRDefault="00B10001" w:rsidP="009809FC">
      <w:pPr>
        <w:pStyle w:val="PlainText"/>
        <w:rPr>
          <w:rFonts w:hAnsi="Calibri"/>
          <w:sz w:val="24"/>
          <w:szCs w:val="24"/>
        </w:rPr>
      </w:pPr>
      <w:r>
        <w:rPr>
          <w:rFonts w:hAnsi="Calibri"/>
          <w:sz w:val="24"/>
          <w:szCs w:val="24"/>
        </w:rPr>
        <w:t xml:space="preserve">questions, </w:t>
      </w:r>
      <w:r w:rsidRPr="009809FC">
        <w:rPr>
          <w:rFonts w:hAnsi="Calibri"/>
          <w:sz w:val="24"/>
          <w:szCs w:val="24"/>
        </w:rPr>
        <w:t xml:space="preserve">please feel free to contact our local offices or visit </w:t>
      </w:r>
      <w:hyperlink r:id="rId8" w:history="1">
        <w:r w:rsidRPr="009809FC">
          <w:rPr>
            <w:rFonts w:hAnsi="Calibri"/>
            <w:sz w:val="24"/>
            <w:szCs w:val="24"/>
            <w:u w:val="single"/>
          </w:rPr>
          <w:t>www.cn.yangming.com</w:t>
        </w:r>
      </w:hyperlink>
      <w:r w:rsidRPr="009809FC">
        <w:rPr>
          <w:rFonts w:hAnsi="Calibri"/>
          <w:sz w:val="24"/>
          <w:szCs w:val="24"/>
        </w:rPr>
        <w:t xml:space="preserve">. </w:t>
      </w:r>
    </w:p>
    <w:p w:rsidR="00B10001" w:rsidRPr="000A46DD" w:rsidRDefault="00B10001" w:rsidP="000A46DD">
      <w:pPr>
        <w:pStyle w:val="PlainText"/>
        <w:spacing w:line="240" w:lineRule="atLeast"/>
        <w:rPr>
          <w:rFonts w:hAnsi="Calibri"/>
          <w:sz w:val="30"/>
          <w:szCs w:val="30"/>
        </w:rPr>
      </w:pPr>
    </w:p>
    <w:p w:rsidR="00B10001" w:rsidRPr="009809FC" w:rsidRDefault="00B10001" w:rsidP="00D116B5">
      <w:pPr>
        <w:pStyle w:val="PlainText"/>
        <w:rPr>
          <w:rFonts w:hAnsi="Calibri"/>
          <w:sz w:val="24"/>
          <w:szCs w:val="24"/>
        </w:rPr>
      </w:pPr>
      <w:r w:rsidRPr="009809FC">
        <w:rPr>
          <w:rFonts w:hAnsi="Calibri" w:hint="eastAsia"/>
          <w:sz w:val="24"/>
          <w:szCs w:val="24"/>
        </w:rPr>
        <w:t>顺颂商祺！</w:t>
      </w:r>
    </w:p>
    <w:p w:rsidR="00B10001" w:rsidRPr="009809FC" w:rsidRDefault="00B10001" w:rsidP="009809FC">
      <w:pPr>
        <w:pStyle w:val="PlainText"/>
        <w:rPr>
          <w:rFonts w:hAnsi="Calibri"/>
          <w:sz w:val="24"/>
          <w:szCs w:val="24"/>
        </w:rPr>
      </w:pPr>
      <w:r w:rsidRPr="009809FC">
        <w:rPr>
          <w:rFonts w:hAnsi="Calibri"/>
          <w:sz w:val="24"/>
          <w:szCs w:val="24"/>
        </w:rPr>
        <w:t>Yours sincerely,</w:t>
      </w:r>
    </w:p>
    <w:p w:rsidR="00B10001" w:rsidRPr="000A46DD" w:rsidRDefault="00B10001" w:rsidP="000A46DD">
      <w:pPr>
        <w:pStyle w:val="PlainText"/>
        <w:spacing w:line="240" w:lineRule="atLeast"/>
        <w:rPr>
          <w:rFonts w:hAnsi="Calibri"/>
          <w:sz w:val="28"/>
          <w:szCs w:val="28"/>
        </w:rPr>
      </w:pPr>
    </w:p>
    <w:p w:rsidR="00B10001" w:rsidRPr="009809FC" w:rsidRDefault="00B10001" w:rsidP="009809FC">
      <w:pPr>
        <w:pStyle w:val="PlainText"/>
        <w:rPr>
          <w:rFonts w:hAnsi="Calibri"/>
          <w:sz w:val="24"/>
          <w:szCs w:val="24"/>
        </w:rPr>
      </w:pPr>
      <w:r w:rsidRPr="009809FC">
        <w:rPr>
          <w:rFonts w:hAnsi="Calibri" w:hint="eastAsia"/>
          <w:sz w:val="24"/>
          <w:szCs w:val="24"/>
        </w:rPr>
        <w:t>阳明海运股份有限公司</w:t>
      </w:r>
      <w:r w:rsidRPr="009809FC">
        <w:rPr>
          <w:rFonts w:hAnsi="Calibri"/>
          <w:sz w:val="24"/>
          <w:szCs w:val="24"/>
        </w:rPr>
        <w:t>(</w:t>
      </w:r>
      <w:r w:rsidRPr="009809FC">
        <w:rPr>
          <w:rFonts w:hAnsi="Calibri" w:hint="eastAsia"/>
          <w:sz w:val="24"/>
          <w:szCs w:val="24"/>
        </w:rPr>
        <w:t>中国总代理</w:t>
      </w:r>
      <w:r w:rsidRPr="009809FC">
        <w:rPr>
          <w:rFonts w:hAnsi="Calibri"/>
          <w:sz w:val="24"/>
          <w:szCs w:val="24"/>
        </w:rPr>
        <w:t>)</w:t>
      </w:r>
      <w:r>
        <w:rPr>
          <w:rFonts w:hAnsi="Calibri"/>
          <w:sz w:val="24"/>
          <w:szCs w:val="24"/>
        </w:rPr>
        <w:t xml:space="preserve"> </w:t>
      </w:r>
    </w:p>
    <w:p w:rsidR="00B10001" w:rsidRPr="009809FC" w:rsidRDefault="00B10001" w:rsidP="009809FC">
      <w:pPr>
        <w:pStyle w:val="PlainText"/>
        <w:rPr>
          <w:rFonts w:hAnsi="Calibri"/>
          <w:sz w:val="24"/>
          <w:szCs w:val="24"/>
        </w:rPr>
      </w:pPr>
      <w:r w:rsidRPr="009809FC">
        <w:rPr>
          <w:rFonts w:hAnsi="Calibri" w:hint="eastAsia"/>
          <w:sz w:val="24"/>
          <w:szCs w:val="24"/>
        </w:rPr>
        <w:t>香港阳凯有限公司</w:t>
      </w:r>
    </w:p>
    <w:p w:rsidR="00B10001" w:rsidRPr="009809FC" w:rsidRDefault="00B10001" w:rsidP="009809FC">
      <w:pPr>
        <w:pStyle w:val="PlainText"/>
        <w:rPr>
          <w:rFonts w:hAnsi="Calibri"/>
          <w:sz w:val="24"/>
          <w:szCs w:val="24"/>
        </w:rPr>
      </w:pPr>
      <w:r w:rsidRPr="009809FC">
        <w:rPr>
          <w:rFonts w:hAnsi="Calibri"/>
          <w:sz w:val="24"/>
          <w:szCs w:val="24"/>
        </w:rPr>
        <w:t>2013</w:t>
      </w:r>
      <w:r w:rsidRPr="009809FC">
        <w:rPr>
          <w:rFonts w:hAnsi="Calibri" w:hint="eastAsia"/>
          <w:sz w:val="24"/>
          <w:szCs w:val="24"/>
        </w:rPr>
        <w:t>年</w:t>
      </w:r>
      <w:r w:rsidRPr="009809FC">
        <w:rPr>
          <w:rFonts w:hAnsi="Calibri"/>
          <w:sz w:val="24"/>
          <w:szCs w:val="24"/>
        </w:rPr>
        <w:t>7</w:t>
      </w:r>
      <w:r w:rsidRPr="009809FC">
        <w:rPr>
          <w:rFonts w:hAnsi="Calibri" w:hint="eastAsia"/>
          <w:sz w:val="24"/>
          <w:szCs w:val="24"/>
        </w:rPr>
        <w:t>月</w:t>
      </w:r>
      <w:r>
        <w:rPr>
          <w:rFonts w:hAnsi="Calibri"/>
          <w:sz w:val="24"/>
          <w:szCs w:val="24"/>
        </w:rPr>
        <w:t>24</w:t>
      </w:r>
      <w:r w:rsidRPr="009809FC">
        <w:rPr>
          <w:rFonts w:hAnsi="Calibri" w:hint="eastAsia"/>
          <w:sz w:val="24"/>
          <w:szCs w:val="24"/>
        </w:rPr>
        <w:t>日</w:t>
      </w:r>
    </w:p>
    <w:p w:rsidR="00B10001" w:rsidRDefault="00B10001" w:rsidP="000A46DD">
      <w:pPr>
        <w:pStyle w:val="PlainText"/>
        <w:spacing w:line="240" w:lineRule="atLeast"/>
        <w:rPr>
          <w:rFonts w:hAnsi="Calibri"/>
          <w:sz w:val="15"/>
          <w:szCs w:val="15"/>
        </w:rPr>
      </w:pPr>
    </w:p>
    <w:p w:rsidR="00B10001" w:rsidRDefault="00B10001" w:rsidP="000A46DD">
      <w:pPr>
        <w:pStyle w:val="PlainText"/>
        <w:spacing w:line="240" w:lineRule="atLeast"/>
        <w:rPr>
          <w:rFonts w:hAnsi="Calibri"/>
          <w:sz w:val="24"/>
          <w:szCs w:val="24"/>
        </w:rPr>
      </w:pPr>
      <w:r w:rsidRPr="009809FC">
        <w:rPr>
          <w:rFonts w:hAnsi="Calibri"/>
          <w:sz w:val="24"/>
          <w:szCs w:val="24"/>
        </w:rPr>
        <w:t>Young Carrier Company Limited of Hong Kong</w:t>
      </w:r>
    </w:p>
    <w:p w:rsidR="00B10001" w:rsidRPr="000A46DD" w:rsidRDefault="00B10001" w:rsidP="000A46DD">
      <w:pPr>
        <w:pStyle w:val="PlainText"/>
        <w:spacing w:line="240" w:lineRule="atLeast"/>
        <w:rPr>
          <w:rFonts w:hAnsi="Calibri"/>
          <w:sz w:val="15"/>
          <w:szCs w:val="15"/>
        </w:rPr>
      </w:pPr>
      <w:r w:rsidRPr="009809FC">
        <w:rPr>
          <w:rFonts w:hAnsi="Calibri"/>
          <w:sz w:val="24"/>
          <w:szCs w:val="24"/>
        </w:rPr>
        <w:t>As agent of Yang Ming Marine Transport Corp</w:t>
      </w:r>
    </w:p>
    <w:p w:rsidR="00B10001" w:rsidRPr="009809FC" w:rsidRDefault="00B10001" w:rsidP="000A46DD">
      <w:pPr>
        <w:pStyle w:val="PlainText"/>
        <w:rPr>
          <w:rFonts w:hAnsi="Calibri"/>
          <w:sz w:val="24"/>
          <w:szCs w:val="24"/>
        </w:rPr>
      </w:pPr>
      <w:r>
        <w:rPr>
          <w:rFonts w:hAnsi="Calibri"/>
          <w:sz w:val="24"/>
          <w:szCs w:val="24"/>
        </w:rPr>
        <w:t>JUL 24</w:t>
      </w:r>
      <w:r w:rsidRPr="009809FC">
        <w:rPr>
          <w:rFonts w:hAnsi="Calibri"/>
          <w:sz w:val="24"/>
          <w:szCs w:val="24"/>
        </w:rPr>
        <w:t>,</w:t>
      </w:r>
      <w:r>
        <w:rPr>
          <w:rFonts w:hAnsi="Calibri"/>
          <w:sz w:val="24"/>
          <w:szCs w:val="24"/>
        </w:rPr>
        <w:t xml:space="preserve"> </w:t>
      </w:r>
      <w:r w:rsidRPr="009809FC">
        <w:rPr>
          <w:rFonts w:hAnsi="Calibri"/>
          <w:sz w:val="24"/>
          <w:szCs w:val="24"/>
        </w:rPr>
        <w:t>2013</w:t>
      </w:r>
    </w:p>
    <w:sectPr w:rsidR="00B10001" w:rsidRPr="009809FC" w:rsidSect="00AF4665">
      <w:pgSz w:w="11906" w:h="16838"/>
      <w:pgMar w:top="567" w:right="1134" w:bottom="56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001" w:rsidRDefault="00B10001" w:rsidP="005E4F84">
      <w:r>
        <w:separator/>
      </w:r>
    </w:p>
  </w:endnote>
  <w:endnote w:type="continuationSeparator" w:id="0">
    <w:p w:rsidR="00B10001" w:rsidRDefault="00B10001" w:rsidP="005E4F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001" w:rsidRDefault="00B10001" w:rsidP="005E4F84">
      <w:r>
        <w:separator/>
      </w:r>
    </w:p>
  </w:footnote>
  <w:footnote w:type="continuationSeparator" w:id="0">
    <w:p w:rsidR="00B10001" w:rsidRDefault="00B10001" w:rsidP="005E4F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03B9"/>
    <w:rsid w:val="00031A29"/>
    <w:rsid w:val="00035427"/>
    <w:rsid w:val="000A46DD"/>
    <w:rsid w:val="000C2BA6"/>
    <w:rsid w:val="000C4B76"/>
    <w:rsid w:val="000E1950"/>
    <w:rsid w:val="000E6BB2"/>
    <w:rsid w:val="0010103E"/>
    <w:rsid w:val="00116EE7"/>
    <w:rsid w:val="00152009"/>
    <w:rsid w:val="001732E0"/>
    <w:rsid w:val="00175513"/>
    <w:rsid w:val="001A3788"/>
    <w:rsid w:val="001C09C1"/>
    <w:rsid w:val="00202495"/>
    <w:rsid w:val="002A2311"/>
    <w:rsid w:val="002A48CE"/>
    <w:rsid w:val="002F5C32"/>
    <w:rsid w:val="00316E87"/>
    <w:rsid w:val="00331FD1"/>
    <w:rsid w:val="00362A95"/>
    <w:rsid w:val="003758A7"/>
    <w:rsid w:val="004111EF"/>
    <w:rsid w:val="004130D3"/>
    <w:rsid w:val="00417676"/>
    <w:rsid w:val="00422F04"/>
    <w:rsid w:val="00454EF8"/>
    <w:rsid w:val="00464424"/>
    <w:rsid w:val="00496D33"/>
    <w:rsid w:val="004A3868"/>
    <w:rsid w:val="004F6ABC"/>
    <w:rsid w:val="005E4F84"/>
    <w:rsid w:val="006362AD"/>
    <w:rsid w:val="006456D8"/>
    <w:rsid w:val="0064697C"/>
    <w:rsid w:val="00677671"/>
    <w:rsid w:val="00680D0B"/>
    <w:rsid w:val="006C772E"/>
    <w:rsid w:val="006E1DB0"/>
    <w:rsid w:val="006F3446"/>
    <w:rsid w:val="0070229D"/>
    <w:rsid w:val="00715CE0"/>
    <w:rsid w:val="00717789"/>
    <w:rsid w:val="00734491"/>
    <w:rsid w:val="007569CA"/>
    <w:rsid w:val="007654EF"/>
    <w:rsid w:val="00790ABD"/>
    <w:rsid w:val="0079138F"/>
    <w:rsid w:val="007C26FD"/>
    <w:rsid w:val="007F4ADB"/>
    <w:rsid w:val="00816C52"/>
    <w:rsid w:val="00831247"/>
    <w:rsid w:val="0083345A"/>
    <w:rsid w:val="00854E73"/>
    <w:rsid w:val="00870DD3"/>
    <w:rsid w:val="00872CF5"/>
    <w:rsid w:val="00932130"/>
    <w:rsid w:val="009638C8"/>
    <w:rsid w:val="009809FC"/>
    <w:rsid w:val="00981746"/>
    <w:rsid w:val="00991C46"/>
    <w:rsid w:val="009A2277"/>
    <w:rsid w:val="009A6EBA"/>
    <w:rsid w:val="009B62A2"/>
    <w:rsid w:val="009C1CF5"/>
    <w:rsid w:val="00A06685"/>
    <w:rsid w:val="00A13C44"/>
    <w:rsid w:val="00A17358"/>
    <w:rsid w:val="00A41623"/>
    <w:rsid w:val="00A65D56"/>
    <w:rsid w:val="00A903EE"/>
    <w:rsid w:val="00AA7721"/>
    <w:rsid w:val="00AC2C25"/>
    <w:rsid w:val="00AD0ED7"/>
    <w:rsid w:val="00AD24CA"/>
    <w:rsid w:val="00AF4665"/>
    <w:rsid w:val="00AF60D6"/>
    <w:rsid w:val="00AF6271"/>
    <w:rsid w:val="00B025BA"/>
    <w:rsid w:val="00B10001"/>
    <w:rsid w:val="00B5000D"/>
    <w:rsid w:val="00B637C5"/>
    <w:rsid w:val="00B7064A"/>
    <w:rsid w:val="00B937EC"/>
    <w:rsid w:val="00BC094D"/>
    <w:rsid w:val="00BE0F1F"/>
    <w:rsid w:val="00C25426"/>
    <w:rsid w:val="00C71BF8"/>
    <w:rsid w:val="00CA2ED4"/>
    <w:rsid w:val="00CC59D4"/>
    <w:rsid w:val="00CF4976"/>
    <w:rsid w:val="00D116B5"/>
    <w:rsid w:val="00D22FB6"/>
    <w:rsid w:val="00D231DA"/>
    <w:rsid w:val="00D2649E"/>
    <w:rsid w:val="00D32A33"/>
    <w:rsid w:val="00D558A2"/>
    <w:rsid w:val="00DB0D24"/>
    <w:rsid w:val="00DD342A"/>
    <w:rsid w:val="00E11226"/>
    <w:rsid w:val="00EE145C"/>
    <w:rsid w:val="00EE5A0C"/>
    <w:rsid w:val="00F21214"/>
    <w:rsid w:val="00F46ED7"/>
    <w:rsid w:val="00F63A51"/>
    <w:rsid w:val="00F703B9"/>
    <w:rsid w:val="00FC004E"/>
    <w:rsid w:val="00FC695A"/>
    <w:rsid w:val="00FE220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00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703B9"/>
    <w:rPr>
      <w:rFonts w:cs="Times New Roman"/>
      <w:color w:val="4CABBC"/>
      <w:sz w:val="17"/>
      <w:szCs w:val="17"/>
      <w:u w:val="single"/>
    </w:rPr>
  </w:style>
  <w:style w:type="paragraph" w:styleId="NormalWeb">
    <w:name w:val="Normal (Web)"/>
    <w:basedOn w:val="Normal"/>
    <w:uiPriority w:val="99"/>
    <w:rsid w:val="00F703B9"/>
    <w:pPr>
      <w:widowControl/>
      <w:spacing w:before="100" w:beforeAutospacing="1" w:after="100" w:afterAutospacing="1" w:line="240" w:lineRule="atLeast"/>
      <w:jc w:val="left"/>
    </w:pPr>
    <w:rPr>
      <w:rFonts w:ascii="宋体" w:hAnsi="宋体" w:cs="宋体"/>
      <w:color w:val="404040"/>
      <w:kern w:val="0"/>
      <w:sz w:val="17"/>
      <w:szCs w:val="17"/>
    </w:rPr>
  </w:style>
  <w:style w:type="paragraph" w:customStyle="1" w:styleId="Default">
    <w:name w:val="Default"/>
    <w:uiPriority w:val="99"/>
    <w:rsid w:val="00F703B9"/>
    <w:pPr>
      <w:widowControl w:val="0"/>
      <w:autoSpaceDE w:val="0"/>
      <w:autoSpaceDN w:val="0"/>
      <w:adjustRightInd w:val="0"/>
    </w:pPr>
    <w:rPr>
      <w:rFonts w:ascii="黑体" w:eastAsia="黑体" w:cs="黑体"/>
      <w:color w:val="000000"/>
      <w:kern w:val="0"/>
      <w:sz w:val="24"/>
      <w:szCs w:val="24"/>
    </w:rPr>
  </w:style>
  <w:style w:type="character" w:styleId="Strong">
    <w:name w:val="Strong"/>
    <w:basedOn w:val="DefaultParagraphFont"/>
    <w:uiPriority w:val="99"/>
    <w:qFormat/>
    <w:rsid w:val="00F703B9"/>
    <w:rPr>
      <w:rFonts w:cs="Times New Roman"/>
      <w:b/>
      <w:bCs/>
    </w:rPr>
  </w:style>
  <w:style w:type="character" w:styleId="Emphasis">
    <w:name w:val="Emphasis"/>
    <w:basedOn w:val="DefaultParagraphFont"/>
    <w:uiPriority w:val="99"/>
    <w:qFormat/>
    <w:rsid w:val="00EE5A0C"/>
    <w:rPr>
      <w:rFonts w:cs="Times New Roman"/>
      <w:i/>
      <w:iCs/>
    </w:rPr>
  </w:style>
  <w:style w:type="paragraph" w:styleId="BalloonText">
    <w:name w:val="Balloon Text"/>
    <w:basedOn w:val="Normal"/>
    <w:link w:val="BalloonTextChar"/>
    <w:uiPriority w:val="99"/>
    <w:semiHidden/>
    <w:rsid w:val="00AF60D6"/>
    <w:rPr>
      <w:sz w:val="18"/>
      <w:szCs w:val="18"/>
    </w:rPr>
  </w:style>
  <w:style w:type="character" w:customStyle="1" w:styleId="BalloonTextChar">
    <w:name w:val="Balloon Text Char"/>
    <w:basedOn w:val="DefaultParagraphFont"/>
    <w:link w:val="BalloonText"/>
    <w:uiPriority w:val="99"/>
    <w:semiHidden/>
    <w:locked/>
    <w:rsid w:val="00AF60D6"/>
    <w:rPr>
      <w:rFonts w:cs="Times New Roman"/>
      <w:sz w:val="18"/>
      <w:szCs w:val="18"/>
    </w:rPr>
  </w:style>
  <w:style w:type="character" w:styleId="FollowedHyperlink">
    <w:name w:val="FollowedHyperlink"/>
    <w:basedOn w:val="DefaultParagraphFont"/>
    <w:uiPriority w:val="99"/>
    <w:semiHidden/>
    <w:rsid w:val="00116EE7"/>
    <w:rPr>
      <w:rFonts w:cs="Times New Roman"/>
      <w:color w:val="800080"/>
      <w:u w:val="single"/>
    </w:rPr>
  </w:style>
  <w:style w:type="paragraph" w:styleId="Header">
    <w:name w:val="header"/>
    <w:basedOn w:val="Normal"/>
    <w:link w:val="HeaderChar"/>
    <w:uiPriority w:val="99"/>
    <w:rsid w:val="005E4F8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E4F84"/>
    <w:rPr>
      <w:rFonts w:cs="Times New Roman"/>
      <w:sz w:val="18"/>
      <w:szCs w:val="18"/>
    </w:rPr>
  </w:style>
  <w:style w:type="paragraph" w:styleId="Footer">
    <w:name w:val="footer"/>
    <w:basedOn w:val="Normal"/>
    <w:link w:val="FooterChar"/>
    <w:uiPriority w:val="99"/>
    <w:rsid w:val="005E4F8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E4F84"/>
    <w:rPr>
      <w:rFonts w:cs="Times New Roman"/>
      <w:sz w:val="18"/>
      <w:szCs w:val="18"/>
    </w:rPr>
  </w:style>
  <w:style w:type="paragraph" w:styleId="PlainText">
    <w:name w:val="Plain Text"/>
    <w:basedOn w:val="Normal"/>
    <w:link w:val="PlainTextChar"/>
    <w:uiPriority w:val="99"/>
    <w:semiHidden/>
    <w:rsid w:val="00D2649E"/>
    <w:pPr>
      <w:jc w:val="left"/>
    </w:pPr>
    <w:rPr>
      <w:rFonts w:hAnsi="Courier New" w:cs="Courier New"/>
      <w:szCs w:val="21"/>
    </w:rPr>
  </w:style>
  <w:style w:type="character" w:customStyle="1" w:styleId="PlainTextChar">
    <w:name w:val="Plain Text Char"/>
    <w:basedOn w:val="DefaultParagraphFont"/>
    <w:link w:val="PlainText"/>
    <w:uiPriority w:val="99"/>
    <w:semiHidden/>
    <w:locked/>
    <w:rsid w:val="00D2649E"/>
    <w:rPr>
      <w:rFonts w:ascii="Calibri" w:eastAsia="宋体" w:hAnsi="Courier New" w:cs="Courier New"/>
      <w:sz w:val="21"/>
      <w:szCs w:val="21"/>
    </w:rPr>
  </w:style>
  <w:style w:type="paragraph" w:styleId="Date">
    <w:name w:val="Date"/>
    <w:basedOn w:val="Normal"/>
    <w:next w:val="Normal"/>
    <w:link w:val="DateChar"/>
    <w:uiPriority w:val="99"/>
    <w:semiHidden/>
    <w:rsid w:val="009809FC"/>
    <w:pPr>
      <w:ind w:leftChars="2500" w:left="100"/>
    </w:pPr>
  </w:style>
  <w:style w:type="character" w:customStyle="1" w:styleId="DateChar">
    <w:name w:val="Date Char"/>
    <w:basedOn w:val="DefaultParagraphFont"/>
    <w:link w:val="Date"/>
    <w:uiPriority w:val="99"/>
    <w:semiHidden/>
    <w:locked/>
    <w:rsid w:val="009809FC"/>
    <w:rPr>
      <w:rFonts w:cs="Times New Roman"/>
    </w:rPr>
  </w:style>
</w:styles>
</file>

<file path=word/webSettings.xml><?xml version="1.0" encoding="utf-8"?>
<w:webSettings xmlns:r="http://schemas.openxmlformats.org/officeDocument/2006/relationships" xmlns:w="http://schemas.openxmlformats.org/wordprocessingml/2006/main">
  <w:divs>
    <w:div w:id="2015187218">
      <w:marLeft w:val="0"/>
      <w:marRight w:val="0"/>
      <w:marTop w:val="0"/>
      <w:marBottom w:val="0"/>
      <w:divBdr>
        <w:top w:val="none" w:sz="0" w:space="0" w:color="auto"/>
        <w:left w:val="none" w:sz="0" w:space="0" w:color="auto"/>
        <w:bottom w:val="none" w:sz="0" w:space="0" w:color="auto"/>
        <w:right w:val="none" w:sz="0" w:space="0" w:color="auto"/>
      </w:divBdr>
    </w:div>
    <w:div w:id="2015187219">
      <w:marLeft w:val="0"/>
      <w:marRight w:val="0"/>
      <w:marTop w:val="0"/>
      <w:marBottom w:val="0"/>
      <w:divBdr>
        <w:top w:val="none" w:sz="0" w:space="0" w:color="auto"/>
        <w:left w:val="none" w:sz="0" w:space="0" w:color="auto"/>
        <w:bottom w:val="none" w:sz="0" w:space="0" w:color="auto"/>
        <w:right w:val="none" w:sz="0" w:space="0" w:color="auto"/>
      </w:divBdr>
      <w:divsChild>
        <w:div w:id="2015187228">
          <w:marLeft w:val="0"/>
          <w:marRight w:val="0"/>
          <w:marTop w:val="0"/>
          <w:marBottom w:val="0"/>
          <w:divBdr>
            <w:top w:val="none" w:sz="0" w:space="0" w:color="auto"/>
            <w:left w:val="none" w:sz="0" w:space="0" w:color="auto"/>
            <w:bottom w:val="none" w:sz="0" w:space="0" w:color="auto"/>
            <w:right w:val="none" w:sz="0" w:space="0" w:color="auto"/>
          </w:divBdr>
          <w:divsChild>
            <w:div w:id="2015187232">
              <w:marLeft w:val="150"/>
              <w:marRight w:val="150"/>
              <w:marTop w:val="0"/>
              <w:marBottom w:val="180"/>
              <w:divBdr>
                <w:top w:val="single" w:sz="6" w:space="0" w:color="74A1C8"/>
                <w:left w:val="single" w:sz="6" w:space="0" w:color="74A1C8"/>
                <w:bottom w:val="single" w:sz="6" w:space="0" w:color="74A1C8"/>
                <w:right w:val="single" w:sz="6" w:space="0" w:color="74A1C8"/>
              </w:divBdr>
              <w:divsChild>
                <w:div w:id="2015187229">
                  <w:marLeft w:val="345"/>
                  <w:marRight w:val="345"/>
                  <w:marTop w:val="345"/>
                  <w:marBottom w:val="345"/>
                  <w:divBdr>
                    <w:top w:val="none" w:sz="0" w:space="0" w:color="auto"/>
                    <w:left w:val="none" w:sz="0" w:space="0" w:color="auto"/>
                    <w:bottom w:val="none" w:sz="0" w:space="0" w:color="auto"/>
                    <w:right w:val="none" w:sz="0" w:space="0" w:color="auto"/>
                  </w:divBdr>
                  <w:divsChild>
                    <w:div w:id="2015187241">
                      <w:marLeft w:val="1260"/>
                      <w:marRight w:val="480"/>
                      <w:marTop w:val="0"/>
                      <w:marBottom w:val="0"/>
                      <w:divBdr>
                        <w:top w:val="none" w:sz="0" w:space="0" w:color="auto"/>
                        <w:left w:val="none" w:sz="0" w:space="0" w:color="auto"/>
                        <w:bottom w:val="none" w:sz="0" w:space="0" w:color="auto"/>
                        <w:right w:val="none" w:sz="0" w:space="0" w:color="auto"/>
                      </w:divBdr>
                    </w:div>
                    <w:div w:id="2015187245">
                      <w:marLeft w:val="126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187220">
      <w:marLeft w:val="0"/>
      <w:marRight w:val="0"/>
      <w:marTop w:val="0"/>
      <w:marBottom w:val="0"/>
      <w:divBdr>
        <w:top w:val="none" w:sz="0" w:space="0" w:color="auto"/>
        <w:left w:val="none" w:sz="0" w:space="0" w:color="auto"/>
        <w:bottom w:val="none" w:sz="0" w:space="0" w:color="auto"/>
        <w:right w:val="none" w:sz="0" w:space="0" w:color="auto"/>
      </w:divBdr>
      <w:divsChild>
        <w:div w:id="2015187239">
          <w:marLeft w:val="0"/>
          <w:marRight w:val="0"/>
          <w:marTop w:val="0"/>
          <w:marBottom w:val="0"/>
          <w:divBdr>
            <w:top w:val="none" w:sz="0" w:space="0" w:color="auto"/>
            <w:left w:val="none" w:sz="0" w:space="0" w:color="auto"/>
            <w:bottom w:val="none" w:sz="0" w:space="0" w:color="auto"/>
            <w:right w:val="none" w:sz="0" w:space="0" w:color="auto"/>
          </w:divBdr>
          <w:divsChild>
            <w:div w:id="2015187236">
              <w:marLeft w:val="150"/>
              <w:marRight w:val="150"/>
              <w:marTop w:val="0"/>
              <w:marBottom w:val="180"/>
              <w:divBdr>
                <w:top w:val="single" w:sz="6" w:space="0" w:color="74A1C8"/>
                <w:left w:val="single" w:sz="6" w:space="0" w:color="74A1C8"/>
                <w:bottom w:val="single" w:sz="6" w:space="0" w:color="74A1C8"/>
                <w:right w:val="single" w:sz="6" w:space="0" w:color="74A1C8"/>
              </w:divBdr>
              <w:divsChild>
                <w:div w:id="2015187231">
                  <w:marLeft w:val="345"/>
                  <w:marRight w:val="345"/>
                  <w:marTop w:val="345"/>
                  <w:marBottom w:val="345"/>
                  <w:divBdr>
                    <w:top w:val="none" w:sz="0" w:space="0" w:color="auto"/>
                    <w:left w:val="none" w:sz="0" w:space="0" w:color="auto"/>
                    <w:bottom w:val="none" w:sz="0" w:space="0" w:color="auto"/>
                    <w:right w:val="none" w:sz="0" w:space="0" w:color="auto"/>
                  </w:divBdr>
                  <w:divsChild>
                    <w:div w:id="2015187243">
                      <w:marLeft w:val="126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187223">
      <w:marLeft w:val="0"/>
      <w:marRight w:val="0"/>
      <w:marTop w:val="0"/>
      <w:marBottom w:val="0"/>
      <w:divBdr>
        <w:top w:val="none" w:sz="0" w:space="0" w:color="auto"/>
        <w:left w:val="none" w:sz="0" w:space="0" w:color="auto"/>
        <w:bottom w:val="none" w:sz="0" w:space="0" w:color="auto"/>
        <w:right w:val="none" w:sz="0" w:space="0" w:color="auto"/>
      </w:divBdr>
    </w:div>
    <w:div w:id="2015187225">
      <w:marLeft w:val="0"/>
      <w:marRight w:val="0"/>
      <w:marTop w:val="0"/>
      <w:marBottom w:val="0"/>
      <w:divBdr>
        <w:top w:val="none" w:sz="0" w:space="0" w:color="auto"/>
        <w:left w:val="none" w:sz="0" w:space="0" w:color="auto"/>
        <w:bottom w:val="none" w:sz="0" w:space="0" w:color="auto"/>
        <w:right w:val="none" w:sz="0" w:space="0" w:color="auto"/>
      </w:divBdr>
    </w:div>
    <w:div w:id="2015187227">
      <w:marLeft w:val="0"/>
      <w:marRight w:val="0"/>
      <w:marTop w:val="0"/>
      <w:marBottom w:val="0"/>
      <w:divBdr>
        <w:top w:val="none" w:sz="0" w:space="0" w:color="auto"/>
        <w:left w:val="none" w:sz="0" w:space="0" w:color="auto"/>
        <w:bottom w:val="none" w:sz="0" w:space="0" w:color="auto"/>
        <w:right w:val="none" w:sz="0" w:space="0" w:color="auto"/>
      </w:divBdr>
    </w:div>
    <w:div w:id="2015187237">
      <w:marLeft w:val="0"/>
      <w:marRight w:val="0"/>
      <w:marTop w:val="0"/>
      <w:marBottom w:val="0"/>
      <w:divBdr>
        <w:top w:val="none" w:sz="0" w:space="0" w:color="auto"/>
        <w:left w:val="none" w:sz="0" w:space="0" w:color="auto"/>
        <w:bottom w:val="none" w:sz="0" w:space="0" w:color="auto"/>
        <w:right w:val="none" w:sz="0" w:space="0" w:color="auto"/>
      </w:divBdr>
    </w:div>
    <w:div w:id="2015187244">
      <w:marLeft w:val="0"/>
      <w:marRight w:val="0"/>
      <w:marTop w:val="0"/>
      <w:marBottom w:val="0"/>
      <w:divBdr>
        <w:top w:val="none" w:sz="0" w:space="0" w:color="auto"/>
        <w:left w:val="none" w:sz="0" w:space="0" w:color="auto"/>
        <w:bottom w:val="none" w:sz="0" w:space="0" w:color="auto"/>
        <w:right w:val="none" w:sz="0" w:space="0" w:color="auto"/>
      </w:divBdr>
      <w:divsChild>
        <w:div w:id="2015187230">
          <w:marLeft w:val="0"/>
          <w:marRight w:val="0"/>
          <w:marTop w:val="0"/>
          <w:marBottom w:val="0"/>
          <w:divBdr>
            <w:top w:val="none" w:sz="0" w:space="0" w:color="auto"/>
            <w:left w:val="none" w:sz="0" w:space="0" w:color="auto"/>
            <w:bottom w:val="none" w:sz="0" w:space="0" w:color="auto"/>
            <w:right w:val="none" w:sz="0" w:space="0" w:color="auto"/>
          </w:divBdr>
          <w:divsChild>
            <w:div w:id="2015187234">
              <w:marLeft w:val="150"/>
              <w:marRight w:val="150"/>
              <w:marTop w:val="0"/>
              <w:marBottom w:val="180"/>
              <w:divBdr>
                <w:top w:val="single" w:sz="6" w:space="0" w:color="74A1C8"/>
                <w:left w:val="single" w:sz="6" w:space="0" w:color="74A1C8"/>
                <w:bottom w:val="single" w:sz="6" w:space="0" w:color="74A1C8"/>
                <w:right w:val="single" w:sz="6" w:space="0" w:color="74A1C8"/>
              </w:divBdr>
              <w:divsChild>
                <w:div w:id="2015187253">
                  <w:marLeft w:val="345"/>
                  <w:marRight w:val="345"/>
                  <w:marTop w:val="345"/>
                  <w:marBottom w:val="345"/>
                  <w:divBdr>
                    <w:top w:val="none" w:sz="0" w:space="0" w:color="auto"/>
                    <w:left w:val="none" w:sz="0" w:space="0" w:color="auto"/>
                    <w:bottom w:val="none" w:sz="0" w:space="0" w:color="auto"/>
                    <w:right w:val="none" w:sz="0" w:space="0" w:color="auto"/>
                  </w:divBdr>
                  <w:divsChild>
                    <w:div w:id="2015187226">
                      <w:marLeft w:val="126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187247">
      <w:marLeft w:val="0"/>
      <w:marRight w:val="0"/>
      <w:marTop w:val="0"/>
      <w:marBottom w:val="0"/>
      <w:divBdr>
        <w:top w:val="none" w:sz="0" w:space="0" w:color="auto"/>
        <w:left w:val="none" w:sz="0" w:space="0" w:color="auto"/>
        <w:bottom w:val="none" w:sz="0" w:space="0" w:color="auto"/>
        <w:right w:val="none" w:sz="0" w:space="0" w:color="auto"/>
      </w:divBdr>
    </w:div>
    <w:div w:id="2015187248">
      <w:marLeft w:val="0"/>
      <w:marRight w:val="0"/>
      <w:marTop w:val="0"/>
      <w:marBottom w:val="0"/>
      <w:divBdr>
        <w:top w:val="none" w:sz="0" w:space="0" w:color="auto"/>
        <w:left w:val="none" w:sz="0" w:space="0" w:color="auto"/>
        <w:bottom w:val="none" w:sz="0" w:space="0" w:color="auto"/>
        <w:right w:val="none" w:sz="0" w:space="0" w:color="auto"/>
      </w:divBdr>
      <w:divsChild>
        <w:div w:id="2015187242">
          <w:marLeft w:val="0"/>
          <w:marRight w:val="0"/>
          <w:marTop w:val="0"/>
          <w:marBottom w:val="0"/>
          <w:divBdr>
            <w:top w:val="none" w:sz="0" w:space="0" w:color="auto"/>
            <w:left w:val="none" w:sz="0" w:space="0" w:color="auto"/>
            <w:bottom w:val="none" w:sz="0" w:space="0" w:color="auto"/>
            <w:right w:val="none" w:sz="0" w:space="0" w:color="auto"/>
          </w:divBdr>
          <w:divsChild>
            <w:div w:id="2015187235">
              <w:marLeft w:val="150"/>
              <w:marRight w:val="150"/>
              <w:marTop w:val="0"/>
              <w:marBottom w:val="180"/>
              <w:divBdr>
                <w:top w:val="single" w:sz="6" w:space="0" w:color="74A1C8"/>
                <w:left w:val="single" w:sz="6" w:space="0" w:color="74A1C8"/>
                <w:bottom w:val="single" w:sz="6" w:space="0" w:color="74A1C8"/>
                <w:right w:val="single" w:sz="6" w:space="0" w:color="74A1C8"/>
              </w:divBdr>
              <w:divsChild>
                <w:div w:id="2015187221">
                  <w:marLeft w:val="345"/>
                  <w:marRight w:val="345"/>
                  <w:marTop w:val="345"/>
                  <w:marBottom w:val="345"/>
                  <w:divBdr>
                    <w:top w:val="none" w:sz="0" w:space="0" w:color="auto"/>
                    <w:left w:val="none" w:sz="0" w:space="0" w:color="auto"/>
                    <w:bottom w:val="none" w:sz="0" w:space="0" w:color="auto"/>
                    <w:right w:val="none" w:sz="0" w:space="0" w:color="auto"/>
                  </w:divBdr>
                  <w:divsChild>
                    <w:div w:id="2015187252">
                      <w:marLeft w:val="126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187249">
      <w:marLeft w:val="0"/>
      <w:marRight w:val="0"/>
      <w:marTop w:val="0"/>
      <w:marBottom w:val="0"/>
      <w:divBdr>
        <w:top w:val="none" w:sz="0" w:space="0" w:color="auto"/>
        <w:left w:val="none" w:sz="0" w:space="0" w:color="auto"/>
        <w:bottom w:val="none" w:sz="0" w:space="0" w:color="auto"/>
        <w:right w:val="none" w:sz="0" w:space="0" w:color="auto"/>
      </w:divBdr>
    </w:div>
    <w:div w:id="2015187251">
      <w:marLeft w:val="0"/>
      <w:marRight w:val="0"/>
      <w:marTop w:val="0"/>
      <w:marBottom w:val="0"/>
      <w:divBdr>
        <w:top w:val="none" w:sz="0" w:space="0" w:color="auto"/>
        <w:left w:val="none" w:sz="0" w:space="0" w:color="auto"/>
        <w:bottom w:val="none" w:sz="0" w:space="0" w:color="auto"/>
        <w:right w:val="none" w:sz="0" w:space="0" w:color="auto"/>
      </w:divBdr>
      <w:divsChild>
        <w:div w:id="2015187240">
          <w:marLeft w:val="0"/>
          <w:marRight w:val="0"/>
          <w:marTop w:val="0"/>
          <w:marBottom w:val="0"/>
          <w:divBdr>
            <w:top w:val="none" w:sz="0" w:space="0" w:color="auto"/>
            <w:left w:val="none" w:sz="0" w:space="0" w:color="auto"/>
            <w:bottom w:val="none" w:sz="0" w:space="0" w:color="auto"/>
            <w:right w:val="none" w:sz="0" w:space="0" w:color="auto"/>
          </w:divBdr>
          <w:divsChild>
            <w:div w:id="2015187238">
              <w:marLeft w:val="150"/>
              <w:marRight w:val="150"/>
              <w:marTop w:val="0"/>
              <w:marBottom w:val="180"/>
              <w:divBdr>
                <w:top w:val="single" w:sz="6" w:space="0" w:color="74A1C8"/>
                <w:left w:val="single" w:sz="6" w:space="0" w:color="74A1C8"/>
                <w:bottom w:val="single" w:sz="6" w:space="0" w:color="74A1C8"/>
                <w:right w:val="single" w:sz="6" w:space="0" w:color="74A1C8"/>
              </w:divBdr>
              <w:divsChild>
                <w:div w:id="2015187246">
                  <w:marLeft w:val="345"/>
                  <w:marRight w:val="345"/>
                  <w:marTop w:val="345"/>
                  <w:marBottom w:val="345"/>
                  <w:divBdr>
                    <w:top w:val="none" w:sz="0" w:space="0" w:color="auto"/>
                    <w:left w:val="none" w:sz="0" w:space="0" w:color="auto"/>
                    <w:bottom w:val="none" w:sz="0" w:space="0" w:color="auto"/>
                    <w:right w:val="none" w:sz="0" w:space="0" w:color="auto"/>
                  </w:divBdr>
                  <w:divsChild>
                    <w:div w:id="2015187217">
                      <w:marLeft w:val="1260"/>
                      <w:marRight w:val="480"/>
                      <w:marTop w:val="0"/>
                      <w:marBottom w:val="0"/>
                      <w:divBdr>
                        <w:top w:val="none" w:sz="0" w:space="0" w:color="auto"/>
                        <w:left w:val="none" w:sz="0" w:space="0" w:color="auto"/>
                        <w:bottom w:val="none" w:sz="0" w:space="0" w:color="auto"/>
                        <w:right w:val="none" w:sz="0" w:space="0" w:color="auto"/>
                      </w:divBdr>
                    </w:div>
                    <w:div w:id="2015187222">
                      <w:marLeft w:val="1260"/>
                      <w:marRight w:val="480"/>
                      <w:marTop w:val="0"/>
                      <w:marBottom w:val="0"/>
                      <w:divBdr>
                        <w:top w:val="none" w:sz="0" w:space="0" w:color="auto"/>
                        <w:left w:val="none" w:sz="0" w:space="0" w:color="auto"/>
                        <w:bottom w:val="none" w:sz="0" w:space="0" w:color="auto"/>
                        <w:right w:val="none" w:sz="0" w:space="0" w:color="auto"/>
                      </w:divBdr>
                    </w:div>
                    <w:div w:id="2015187224">
                      <w:marLeft w:val="1260"/>
                      <w:marRight w:val="480"/>
                      <w:marTop w:val="0"/>
                      <w:marBottom w:val="0"/>
                      <w:divBdr>
                        <w:top w:val="none" w:sz="0" w:space="0" w:color="auto"/>
                        <w:left w:val="none" w:sz="0" w:space="0" w:color="auto"/>
                        <w:bottom w:val="none" w:sz="0" w:space="0" w:color="auto"/>
                        <w:right w:val="none" w:sz="0" w:space="0" w:color="auto"/>
                      </w:divBdr>
                    </w:div>
                    <w:div w:id="2015187233">
                      <w:marLeft w:val="1260"/>
                      <w:marRight w:val="480"/>
                      <w:marTop w:val="0"/>
                      <w:marBottom w:val="0"/>
                      <w:divBdr>
                        <w:top w:val="none" w:sz="0" w:space="0" w:color="auto"/>
                        <w:left w:val="none" w:sz="0" w:space="0" w:color="auto"/>
                        <w:bottom w:val="none" w:sz="0" w:space="0" w:color="auto"/>
                        <w:right w:val="none" w:sz="0" w:space="0" w:color="auto"/>
                      </w:divBdr>
                    </w:div>
                    <w:div w:id="2015187250">
                      <w:marLeft w:val="126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yangming.com" TargetMode="External"/><Relationship Id="rId3" Type="http://schemas.openxmlformats.org/officeDocument/2006/relationships/webSettings" Target="webSettings.xml"/><Relationship Id="rId7" Type="http://schemas.openxmlformats.org/officeDocument/2006/relationships/hyperlink" Target="http://www.cn.yangm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302</Words>
  <Characters>1727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YMSHA-CPLN AMY TANG</dc:creator>
  <cp:keywords/>
  <dc:description/>
  <cp:lastModifiedBy>微软中国</cp:lastModifiedBy>
  <cp:revision>2</cp:revision>
  <cp:lastPrinted>2013-07-23T09:35:00Z</cp:lastPrinted>
  <dcterms:created xsi:type="dcterms:W3CDTF">2013-07-24T07:30:00Z</dcterms:created>
  <dcterms:modified xsi:type="dcterms:W3CDTF">2013-07-24T07:30:00Z</dcterms:modified>
</cp:coreProperties>
</file>